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CAC" w:rsidRPr="0040481C" w:rsidRDefault="0040481C">
      <w:pPr>
        <w:rPr>
          <w:lang w:val="en-US"/>
        </w:rPr>
      </w:pPr>
      <w:proofErr w:type="gramStart"/>
      <w:r w:rsidRPr="0040481C">
        <w:rPr>
          <w:lang w:val="en-US"/>
        </w:rPr>
        <w:t>”Diffusion</w:t>
      </w:r>
      <w:proofErr w:type="gramEnd"/>
      <w:r w:rsidRPr="0040481C">
        <w:rPr>
          <w:lang w:val="en-US"/>
        </w:rPr>
        <w:t xml:space="preserve"> in Polymers 2020” summarizes how t</w:t>
      </w:r>
      <w:r>
        <w:rPr>
          <w:lang w:val="en-US"/>
        </w:rPr>
        <w:t xml:space="preserve">he diffusion equation satisfactorily models what have previously been considered “anomalies”. Advancing fronts are the result of concentration dependent diffusion coefficients. A significant surface condition is responsible for deviations from straight line absorption with the square root of time. </w:t>
      </w:r>
      <w:r w:rsidR="00314DD9">
        <w:rPr>
          <w:lang w:val="en-US"/>
        </w:rPr>
        <w:t>S</w:t>
      </w:r>
      <w:r>
        <w:rPr>
          <w:lang w:val="en-US"/>
        </w:rPr>
        <w:t>ignificant surface condition</w:t>
      </w:r>
      <w:r w:rsidR="00314DD9">
        <w:rPr>
          <w:lang w:val="en-US"/>
        </w:rPr>
        <w:t>s</w:t>
      </w:r>
      <w:r>
        <w:rPr>
          <w:lang w:val="en-US"/>
        </w:rPr>
        <w:t xml:space="preserve"> can lead to horizontal concentration gradients such as in the absorption of methanol into PMMA. </w:t>
      </w:r>
    </w:p>
    <w:sectPr w:rsidR="00457CAC" w:rsidRPr="0040481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81C"/>
    <w:rsid w:val="00314DD9"/>
    <w:rsid w:val="0040481C"/>
    <w:rsid w:val="0045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B3F26"/>
  <w15:chartTrackingRefBased/>
  <w15:docId w15:val="{A0ED4FE8-BC52-44D3-980F-13E24FA6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Hansen</dc:creator>
  <cp:keywords/>
  <dc:description/>
  <cp:lastModifiedBy>Charles Hansen</cp:lastModifiedBy>
  <cp:revision>1</cp:revision>
  <dcterms:created xsi:type="dcterms:W3CDTF">2020-04-14T07:43:00Z</dcterms:created>
  <dcterms:modified xsi:type="dcterms:W3CDTF">2020-04-14T08:00:00Z</dcterms:modified>
</cp:coreProperties>
</file>